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59" w:rsidRPr="00760F86" w:rsidRDefault="00760F86" w:rsidP="00600BCD">
      <w:pPr>
        <w:spacing w:after="0" w:line="360" w:lineRule="auto"/>
        <w:outlineLvl w:val="3"/>
        <w:rPr>
          <w:rFonts w:cstheme="minorHAnsi"/>
          <w:u w:val="single"/>
        </w:rPr>
      </w:pPr>
      <w:r>
        <w:rPr>
          <w:rFonts w:cstheme="minorHAnsi"/>
          <w:u w:val="single"/>
        </w:rPr>
        <w:t>Seminar 3</w:t>
      </w:r>
    </w:p>
    <w:p w:rsidR="00FB4919" w:rsidRPr="00760F86" w:rsidRDefault="00FB4919" w:rsidP="00600BCD">
      <w:pPr>
        <w:spacing w:after="0" w:line="360" w:lineRule="auto"/>
        <w:outlineLvl w:val="3"/>
        <w:rPr>
          <w:rFonts w:cstheme="minorHAnsi"/>
        </w:rPr>
      </w:pPr>
      <w:r w:rsidRPr="00760F86">
        <w:rPr>
          <w:rFonts w:cstheme="minorHAnsi"/>
        </w:rPr>
        <w:t xml:space="preserve">During this seminar each group will present </w:t>
      </w:r>
      <w:r w:rsidR="00760F86" w:rsidRPr="00760F86">
        <w:rPr>
          <w:rFonts w:cstheme="minorHAnsi"/>
        </w:rPr>
        <w:t xml:space="preserve">one article. </w:t>
      </w:r>
      <w:r w:rsidR="00760F86">
        <w:rPr>
          <w:rFonts w:cstheme="minorHAnsi"/>
        </w:rPr>
        <w:t xml:space="preserve">Each presentation should take no longer than 20 minutes. </w:t>
      </w:r>
      <w:r w:rsidR="00467240">
        <w:rPr>
          <w:rFonts w:cstheme="minorHAnsi"/>
        </w:rPr>
        <w:t>See the slides from lecture 4 for a possible outline and focus of the presentation.</w:t>
      </w:r>
      <w:bookmarkStart w:id="0" w:name="_GoBack"/>
      <w:bookmarkEnd w:id="0"/>
    </w:p>
    <w:p w:rsidR="00760F86" w:rsidRPr="00760F86" w:rsidRDefault="00760F86" w:rsidP="00600BCD">
      <w:pPr>
        <w:spacing w:after="0" w:line="360" w:lineRule="auto"/>
        <w:outlineLvl w:val="3"/>
        <w:rPr>
          <w:rFonts w:cstheme="minorHAnsi"/>
        </w:rPr>
      </w:pPr>
    </w:p>
    <w:p w:rsidR="00760F86" w:rsidRDefault="00760F86" w:rsidP="00600BCD">
      <w:pPr>
        <w:spacing w:after="0" w:line="360" w:lineRule="auto"/>
        <w:outlineLvl w:val="3"/>
        <w:rPr>
          <w:rFonts w:cstheme="minorHAnsi"/>
        </w:rPr>
      </w:pPr>
      <w:r w:rsidRPr="00760F86">
        <w:rPr>
          <w:rFonts w:cstheme="minorHAnsi"/>
        </w:rPr>
        <w:t>The article to be presented should be one of those listed below. Note that two groups can have the same article only if they are going to two different seminars. The articles will be distributed on a first come, first served basis</w:t>
      </w:r>
      <w:r>
        <w:rPr>
          <w:rFonts w:cstheme="minorHAnsi"/>
        </w:rPr>
        <w:t xml:space="preserve"> and each group should e-mail me their choice. My e-mail is: </w:t>
      </w:r>
      <w:hyperlink r:id="rId5" w:history="1">
        <w:r w:rsidRPr="00256EA8">
          <w:rPr>
            <w:rStyle w:val="Hyperlink"/>
            <w:rFonts w:asciiTheme="minorHAnsi" w:hAnsiTheme="minorHAnsi" w:cstheme="minorHAnsi"/>
          </w:rPr>
          <w:t>andreas.kotsadam@econ.uio.no</w:t>
        </w:r>
      </w:hyperlink>
    </w:p>
    <w:p w:rsidR="00760F86" w:rsidRPr="00760F86" w:rsidRDefault="00760F86" w:rsidP="00600BCD">
      <w:pPr>
        <w:spacing w:after="0" w:line="360" w:lineRule="auto"/>
        <w:outlineLvl w:val="3"/>
        <w:rPr>
          <w:rFonts w:cstheme="minorHAnsi"/>
        </w:rPr>
      </w:pPr>
    </w:p>
    <w:p w:rsidR="00F06359" w:rsidRPr="00760F86" w:rsidRDefault="00F06359" w:rsidP="00600BCD">
      <w:pPr>
        <w:spacing w:after="0" w:line="360" w:lineRule="auto"/>
        <w:outlineLvl w:val="3"/>
        <w:rPr>
          <w:rFonts w:cstheme="minorHAnsi"/>
        </w:rPr>
      </w:pPr>
    </w:p>
    <w:p w:rsidR="00600BCD" w:rsidRPr="00760F86" w:rsidRDefault="00600BCD" w:rsidP="00600BCD">
      <w:pPr>
        <w:spacing w:after="0" w:line="360" w:lineRule="auto"/>
        <w:outlineLvl w:val="3"/>
        <w:rPr>
          <w:rFonts w:cstheme="minorHAnsi"/>
        </w:rPr>
      </w:pPr>
      <w:proofErr w:type="spellStart"/>
      <w:proofErr w:type="gramStart"/>
      <w:r w:rsidRPr="00760F86">
        <w:rPr>
          <w:rFonts w:cstheme="minorHAnsi"/>
        </w:rPr>
        <w:t>Acemoglu</w:t>
      </w:r>
      <w:proofErr w:type="spellEnd"/>
      <w:r w:rsidRPr="00760F86">
        <w:rPr>
          <w:rFonts w:cstheme="minorHAnsi"/>
        </w:rPr>
        <w:t>, D., S. Johnson, and J. A. Robinson (2001).</w:t>
      </w:r>
      <w:proofErr w:type="gramEnd"/>
      <w:r w:rsidRPr="00760F86">
        <w:rPr>
          <w:rFonts w:cstheme="minorHAnsi"/>
          <w:lang w:val="nb-NO"/>
        </w:rPr>
        <w:fldChar w:fldCharType="begin"/>
      </w:r>
      <w:r w:rsidRPr="00760F86">
        <w:rPr>
          <w:rFonts w:cstheme="minorHAnsi"/>
        </w:rPr>
        <w:instrText xml:space="preserve"> HYPERLINK "http://www.colmex.mx/centros/cee/long-run/Lecture2/Acemoglu,%20Colonial%20origins.pdf" </w:instrText>
      </w:r>
      <w:r w:rsidRPr="00760F86">
        <w:rPr>
          <w:rFonts w:cstheme="minorHAnsi"/>
          <w:lang w:val="nb-NO"/>
        </w:rPr>
        <w:fldChar w:fldCharType="separate"/>
      </w:r>
      <w:r w:rsidRPr="00760F86">
        <w:rPr>
          <w:rStyle w:val="Hyperlink"/>
          <w:rFonts w:asciiTheme="minorHAnsi" w:hAnsiTheme="minorHAnsi" w:cstheme="minorHAnsi"/>
          <w:color w:val="0033CC"/>
        </w:rPr>
        <w:t>The colonial origi</w:t>
      </w:r>
      <w:r w:rsidRPr="00760F86">
        <w:rPr>
          <w:rStyle w:val="Hyperlink"/>
          <w:rFonts w:asciiTheme="minorHAnsi" w:hAnsiTheme="minorHAnsi" w:cstheme="minorHAnsi"/>
          <w:color w:val="0033CC"/>
        </w:rPr>
        <w:t>n</w:t>
      </w:r>
      <w:r w:rsidRPr="00760F86">
        <w:rPr>
          <w:rStyle w:val="Hyperlink"/>
          <w:rFonts w:asciiTheme="minorHAnsi" w:hAnsiTheme="minorHAnsi" w:cstheme="minorHAnsi"/>
          <w:color w:val="0033CC"/>
        </w:rPr>
        <w:t>s of comparative development: an empirical investigation</w:t>
      </w:r>
      <w:r w:rsidRPr="00760F86">
        <w:rPr>
          <w:rStyle w:val="Hyperlink"/>
          <w:rFonts w:asciiTheme="minorHAnsi" w:hAnsiTheme="minorHAnsi" w:cstheme="minorHAnsi"/>
          <w:color w:val="0033CC"/>
        </w:rPr>
        <w:fldChar w:fldCharType="end"/>
      </w:r>
      <w:r w:rsidRPr="00760F86">
        <w:rPr>
          <w:rFonts w:cstheme="minorHAnsi"/>
        </w:rPr>
        <w:t xml:space="preserve">, </w:t>
      </w:r>
      <w:r w:rsidRPr="00760F86">
        <w:rPr>
          <w:rFonts w:cstheme="minorHAnsi"/>
          <w:i/>
          <w:iCs/>
        </w:rPr>
        <w:t>American Economic Review</w:t>
      </w:r>
      <w:r w:rsidRPr="00760F86">
        <w:rPr>
          <w:rFonts w:cstheme="minorHAnsi"/>
        </w:rPr>
        <w:t xml:space="preserve"> 91(5), 1369-1401.</w:t>
      </w:r>
    </w:p>
    <w:p w:rsidR="00600BCD" w:rsidRPr="00760F86" w:rsidRDefault="00600BCD" w:rsidP="00600BCD">
      <w:pPr>
        <w:spacing w:after="0" w:line="360" w:lineRule="auto"/>
        <w:outlineLvl w:val="3"/>
        <w:rPr>
          <w:rFonts w:cstheme="minorHAnsi"/>
        </w:rPr>
      </w:pPr>
      <w:proofErr w:type="spellStart"/>
      <w:proofErr w:type="gramStart"/>
      <w:r w:rsidRPr="00760F86">
        <w:rPr>
          <w:rFonts w:cstheme="minorHAnsi"/>
        </w:rPr>
        <w:t>Beaman</w:t>
      </w:r>
      <w:proofErr w:type="spellEnd"/>
      <w:r w:rsidRPr="00760F86">
        <w:rPr>
          <w:rFonts w:cstheme="minorHAnsi"/>
        </w:rPr>
        <w:t xml:space="preserve">, L. </w:t>
      </w:r>
      <w:proofErr w:type="spellStart"/>
      <w:r w:rsidRPr="00760F86">
        <w:rPr>
          <w:rFonts w:cstheme="minorHAnsi"/>
        </w:rPr>
        <w:t>Chattopadhyay</w:t>
      </w:r>
      <w:proofErr w:type="spellEnd"/>
      <w:r w:rsidRPr="00760F86">
        <w:rPr>
          <w:rFonts w:cstheme="minorHAnsi"/>
        </w:rPr>
        <w:t xml:space="preserve">, R. </w:t>
      </w:r>
      <w:proofErr w:type="spellStart"/>
      <w:r w:rsidRPr="00760F86">
        <w:rPr>
          <w:rFonts w:cstheme="minorHAnsi"/>
        </w:rPr>
        <w:t>Duflo</w:t>
      </w:r>
      <w:proofErr w:type="spellEnd"/>
      <w:r w:rsidRPr="00760F86">
        <w:rPr>
          <w:rFonts w:cstheme="minorHAnsi"/>
        </w:rPr>
        <w:t xml:space="preserve">, E., </w:t>
      </w:r>
      <w:proofErr w:type="spellStart"/>
      <w:r w:rsidRPr="00760F86">
        <w:rPr>
          <w:rFonts w:cstheme="minorHAnsi"/>
        </w:rPr>
        <w:t>Pande</w:t>
      </w:r>
      <w:proofErr w:type="spellEnd"/>
      <w:r w:rsidRPr="00760F86">
        <w:rPr>
          <w:rFonts w:cstheme="minorHAnsi"/>
        </w:rPr>
        <w:t xml:space="preserve">, R, and </w:t>
      </w:r>
      <w:proofErr w:type="spellStart"/>
      <w:r w:rsidRPr="00760F86">
        <w:rPr>
          <w:rFonts w:cstheme="minorHAnsi"/>
        </w:rPr>
        <w:t>Topolova</w:t>
      </w:r>
      <w:proofErr w:type="spellEnd"/>
      <w:r w:rsidRPr="00760F86">
        <w:rPr>
          <w:rFonts w:cstheme="minorHAnsi"/>
        </w:rPr>
        <w:t xml:space="preserve"> P. (2009).</w:t>
      </w:r>
      <w:proofErr w:type="gramEnd"/>
      <w:r w:rsidRPr="00760F86">
        <w:rPr>
          <w:rFonts w:cstheme="minorHAnsi"/>
          <w:lang w:val="nb-NO"/>
        </w:rPr>
        <w:fldChar w:fldCharType="begin"/>
      </w:r>
      <w:r w:rsidRPr="00760F86">
        <w:rPr>
          <w:rFonts w:cstheme="minorHAnsi"/>
        </w:rPr>
        <w:instrText xml:space="preserve"> HYPERLINK "http://qje.oxfordjournals.org/content/124/4/1497.short" </w:instrText>
      </w:r>
      <w:r w:rsidRPr="00760F86">
        <w:rPr>
          <w:rFonts w:cstheme="minorHAnsi"/>
          <w:lang w:val="nb-NO"/>
        </w:rPr>
        <w:fldChar w:fldCharType="separate"/>
      </w:r>
      <w:r w:rsidRPr="00760F86">
        <w:rPr>
          <w:rFonts w:cstheme="minorHAnsi"/>
          <w:color w:val="0000CC"/>
          <w:u w:val="single"/>
        </w:rPr>
        <w:t>Powerf</w:t>
      </w:r>
      <w:r w:rsidRPr="00760F86">
        <w:rPr>
          <w:rFonts w:cstheme="minorHAnsi"/>
          <w:color w:val="0000CC"/>
          <w:u w:val="single"/>
        </w:rPr>
        <w:t>u</w:t>
      </w:r>
      <w:r w:rsidRPr="00760F86">
        <w:rPr>
          <w:rFonts w:cstheme="minorHAnsi"/>
          <w:color w:val="0000CC"/>
          <w:u w:val="single"/>
        </w:rPr>
        <w:t>l Women: Does Exposure Reduce Bias?</w:t>
      </w:r>
      <w:r w:rsidRPr="00760F86">
        <w:rPr>
          <w:rFonts w:cstheme="minorHAnsi"/>
          <w:color w:val="0000CC"/>
          <w:u w:val="single"/>
        </w:rPr>
        <w:fldChar w:fldCharType="end"/>
      </w:r>
      <w:r w:rsidR="00760F86">
        <w:rPr>
          <w:rFonts w:cstheme="minorHAnsi"/>
          <w:color w:val="0000CC"/>
          <w:u w:val="single"/>
        </w:rPr>
        <w:t xml:space="preserve"> </w:t>
      </w:r>
      <w:r w:rsidRPr="00760F86">
        <w:rPr>
          <w:rFonts w:cstheme="minorHAnsi"/>
          <w:i/>
          <w:color w:val="333300"/>
        </w:rPr>
        <w:t>Quarterly Journal of Economics</w:t>
      </w:r>
      <w:r w:rsidRPr="00760F86">
        <w:rPr>
          <w:rFonts w:cstheme="minorHAnsi"/>
          <w:color w:val="333300"/>
        </w:rPr>
        <w:t xml:space="preserve">, </w:t>
      </w:r>
      <w:r w:rsidRPr="00760F86">
        <w:rPr>
          <w:rStyle w:val="slug-vol"/>
          <w:rFonts w:cstheme="minorHAnsi"/>
          <w:color w:val="333300"/>
        </w:rPr>
        <w:t xml:space="preserve">124 </w:t>
      </w:r>
      <w:r w:rsidRPr="00760F86">
        <w:rPr>
          <w:rStyle w:val="slug-issue"/>
          <w:rFonts w:cstheme="minorHAnsi"/>
          <w:color w:val="333300"/>
        </w:rPr>
        <w:t xml:space="preserve">(4): </w:t>
      </w:r>
      <w:r w:rsidRPr="00760F86">
        <w:rPr>
          <w:rFonts w:cstheme="minorHAnsi"/>
          <w:color w:val="333300"/>
        </w:rPr>
        <w:t>1497-1540.</w:t>
      </w:r>
    </w:p>
    <w:p w:rsidR="00600BCD" w:rsidRPr="00760F86" w:rsidRDefault="00600BCD" w:rsidP="00600BCD">
      <w:pPr>
        <w:autoSpaceDE w:val="0"/>
        <w:autoSpaceDN w:val="0"/>
        <w:adjustRightInd w:val="0"/>
        <w:spacing w:after="0" w:line="360" w:lineRule="auto"/>
        <w:rPr>
          <w:rFonts w:cstheme="minorHAnsi"/>
          <w:bCs/>
        </w:rPr>
      </w:pPr>
      <w:r w:rsidRPr="00760F86">
        <w:rPr>
          <w:rFonts w:cstheme="minorHAnsi"/>
        </w:rPr>
        <w:t xml:space="preserve">Fujiwara, T. (2010), </w:t>
      </w:r>
      <w:hyperlink r:id="rId6" w:history="1">
        <w:proofErr w:type="gramStart"/>
        <w:r w:rsidRPr="00760F86">
          <w:rPr>
            <w:rStyle w:val="Hyperlink"/>
            <w:rFonts w:asciiTheme="minorHAnsi" w:hAnsiTheme="minorHAnsi" w:cstheme="minorHAnsi"/>
          </w:rPr>
          <w:t>Voting</w:t>
        </w:r>
        <w:proofErr w:type="gramEnd"/>
        <w:r w:rsidRPr="00760F86">
          <w:rPr>
            <w:rStyle w:val="Hyperlink"/>
            <w:rFonts w:asciiTheme="minorHAnsi" w:hAnsiTheme="minorHAnsi" w:cstheme="minorHAnsi"/>
          </w:rPr>
          <w:t xml:space="preserve"> technology, political resp</w:t>
        </w:r>
        <w:r w:rsidRPr="00760F86">
          <w:rPr>
            <w:rStyle w:val="Hyperlink"/>
            <w:rFonts w:asciiTheme="minorHAnsi" w:hAnsiTheme="minorHAnsi" w:cstheme="minorHAnsi"/>
          </w:rPr>
          <w:t>o</w:t>
        </w:r>
        <w:r w:rsidRPr="00760F86">
          <w:rPr>
            <w:rStyle w:val="Hyperlink"/>
            <w:rFonts w:asciiTheme="minorHAnsi" w:hAnsiTheme="minorHAnsi" w:cstheme="minorHAnsi"/>
          </w:rPr>
          <w:t>nsiveness, and infant hea</w:t>
        </w:r>
        <w:r w:rsidRPr="00760F86">
          <w:rPr>
            <w:rStyle w:val="Hyperlink"/>
            <w:rFonts w:asciiTheme="minorHAnsi" w:hAnsiTheme="minorHAnsi" w:cstheme="minorHAnsi"/>
          </w:rPr>
          <w:t>l</w:t>
        </w:r>
        <w:r w:rsidRPr="00760F86">
          <w:rPr>
            <w:rStyle w:val="Hyperlink"/>
            <w:rFonts w:asciiTheme="minorHAnsi" w:hAnsiTheme="minorHAnsi" w:cstheme="minorHAnsi"/>
          </w:rPr>
          <w:t>th: evidence from Brazil</w:t>
        </w:r>
      </w:hyperlink>
      <w:r w:rsidRPr="00760F86">
        <w:rPr>
          <w:rFonts w:cstheme="minorHAnsi"/>
        </w:rPr>
        <w:t xml:space="preserve">, University of British Columbia, mimeo. </w:t>
      </w:r>
    </w:p>
    <w:p w:rsidR="00600BCD" w:rsidRPr="00760F86" w:rsidRDefault="00600BCD" w:rsidP="00600BCD">
      <w:pPr>
        <w:spacing w:after="0" w:line="360" w:lineRule="auto"/>
        <w:outlineLvl w:val="3"/>
        <w:rPr>
          <w:rFonts w:cstheme="minorHAnsi"/>
        </w:rPr>
      </w:pPr>
      <w:proofErr w:type="spellStart"/>
      <w:r w:rsidRPr="00760F86">
        <w:rPr>
          <w:rFonts w:cstheme="minorHAnsi"/>
          <w:bCs/>
          <w:lang w:val="es-ES"/>
        </w:rPr>
        <w:t>Glaeser</w:t>
      </w:r>
      <w:proofErr w:type="spellEnd"/>
      <w:r w:rsidRPr="00760F86">
        <w:rPr>
          <w:rFonts w:cstheme="minorHAnsi"/>
          <w:bCs/>
          <w:lang w:val="es-ES"/>
        </w:rPr>
        <w:t xml:space="preserve"> E, La Porta L., </w:t>
      </w:r>
      <w:proofErr w:type="spellStart"/>
      <w:r w:rsidRPr="00760F86">
        <w:rPr>
          <w:rFonts w:cstheme="minorHAnsi"/>
          <w:bCs/>
          <w:lang w:val="es-ES"/>
        </w:rPr>
        <w:t>Lopez</w:t>
      </w:r>
      <w:proofErr w:type="spellEnd"/>
      <w:r w:rsidRPr="00760F86">
        <w:rPr>
          <w:rFonts w:cstheme="minorHAnsi"/>
          <w:bCs/>
          <w:lang w:val="es-ES"/>
        </w:rPr>
        <w:t>-de-</w:t>
      </w:r>
      <w:proofErr w:type="spellStart"/>
      <w:r w:rsidRPr="00760F86">
        <w:rPr>
          <w:rFonts w:cstheme="minorHAnsi"/>
          <w:bCs/>
          <w:lang w:val="es-ES"/>
        </w:rPr>
        <w:t>silanes</w:t>
      </w:r>
      <w:proofErr w:type="spellEnd"/>
      <w:r w:rsidRPr="00760F86">
        <w:rPr>
          <w:rFonts w:cstheme="minorHAnsi"/>
          <w:bCs/>
          <w:lang w:val="es-ES"/>
        </w:rPr>
        <w:t xml:space="preserve"> F., and </w:t>
      </w:r>
      <w:proofErr w:type="spellStart"/>
      <w:r w:rsidRPr="00760F86">
        <w:rPr>
          <w:rFonts w:cstheme="minorHAnsi"/>
          <w:bCs/>
          <w:lang w:val="es-ES"/>
        </w:rPr>
        <w:t>Schleifer</w:t>
      </w:r>
      <w:proofErr w:type="spellEnd"/>
      <w:r w:rsidRPr="00760F86">
        <w:rPr>
          <w:rFonts w:cstheme="minorHAnsi"/>
          <w:bCs/>
          <w:lang w:val="es-ES"/>
        </w:rPr>
        <w:t>, A.</w:t>
      </w:r>
      <w:hyperlink r:id="rId7" w:history="1">
        <w:r w:rsidRPr="00760F86">
          <w:rPr>
            <w:rFonts w:cstheme="minorHAnsi"/>
            <w:color w:val="0000CC"/>
            <w:u w:val="single"/>
          </w:rPr>
          <w:t>Do institutions caus</w:t>
        </w:r>
        <w:r w:rsidRPr="00760F86">
          <w:rPr>
            <w:rFonts w:cstheme="minorHAnsi"/>
            <w:color w:val="0000CC"/>
            <w:u w:val="single"/>
          </w:rPr>
          <w:t>e</w:t>
        </w:r>
        <w:r w:rsidRPr="00760F86">
          <w:rPr>
            <w:rFonts w:cstheme="minorHAnsi"/>
            <w:color w:val="0000CC"/>
            <w:u w:val="single"/>
          </w:rPr>
          <w:t xml:space="preserve"> growth?</w:t>
        </w:r>
      </w:hyperlink>
      <w:r w:rsidR="00760F86">
        <w:rPr>
          <w:rFonts w:cstheme="minorHAnsi"/>
          <w:color w:val="0000CC"/>
          <w:u w:val="single"/>
        </w:rPr>
        <w:t xml:space="preserve"> </w:t>
      </w:r>
      <w:r w:rsidRPr="00760F86">
        <w:rPr>
          <w:rFonts w:cstheme="minorHAnsi"/>
          <w:i/>
        </w:rPr>
        <w:t>Journal of Economic Growth</w:t>
      </w:r>
      <w:r w:rsidRPr="00760F86">
        <w:rPr>
          <w:rFonts w:cstheme="minorHAnsi"/>
        </w:rPr>
        <w:t>, Vol. 9(3): 271-303.</w:t>
      </w:r>
    </w:p>
    <w:p w:rsidR="00600BCD" w:rsidRPr="00760F86" w:rsidRDefault="00600BCD" w:rsidP="00600BCD">
      <w:pPr>
        <w:spacing w:after="0" w:line="360" w:lineRule="auto"/>
        <w:outlineLvl w:val="3"/>
        <w:rPr>
          <w:rFonts w:cstheme="minorHAnsi"/>
        </w:rPr>
      </w:pPr>
      <w:proofErr w:type="gramStart"/>
      <w:r w:rsidRPr="00760F86">
        <w:rPr>
          <w:rFonts w:cstheme="minorHAnsi"/>
        </w:rPr>
        <w:t>Jensen, R. and Oster, E. (2009).</w:t>
      </w:r>
      <w:proofErr w:type="gramEnd"/>
      <w:r w:rsidRPr="00760F86">
        <w:rPr>
          <w:rFonts w:cstheme="minorHAnsi"/>
          <w:lang w:val="nb-NO"/>
        </w:rPr>
        <w:fldChar w:fldCharType="begin"/>
      </w:r>
      <w:r w:rsidRPr="00760F86">
        <w:rPr>
          <w:rFonts w:cstheme="minorHAnsi"/>
        </w:rPr>
        <w:instrText xml:space="preserve"> HYPERLINK "http://www.mitpressjournals.org/doi/abs/10.1162/qjec.2009.124.3.1057" </w:instrText>
      </w:r>
      <w:r w:rsidRPr="00760F86">
        <w:rPr>
          <w:rFonts w:cstheme="minorHAnsi"/>
          <w:lang w:val="nb-NO"/>
        </w:rPr>
        <w:fldChar w:fldCharType="separate"/>
      </w:r>
      <w:r w:rsidRPr="00760F86">
        <w:rPr>
          <w:rFonts w:cstheme="minorHAnsi"/>
          <w:color w:val="0000CC"/>
          <w:u w:val="single"/>
        </w:rPr>
        <w:t>The Power of TV: Cable Tele</w:t>
      </w:r>
      <w:r w:rsidRPr="00760F86">
        <w:rPr>
          <w:rFonts w:cstheme="minorHAnsi"/>
          <w:color w:val="0000CC"/>
          <w:u w:val="single"/>
        </w:rPr>
        <w:t>v</w:t>
      </w:r>
      <w:r w:rsidRPr="00760F86">
        <w:rPr>
          <w:rFonts w:cstheme="minorHAnsi"/>
          <w:color w:val="0000CC"/>
          <w:u w:val="single"/>
        </w:rPr>
        <w:t>ision and Women's Status in India*</w:t>
      </w:r>
      <w:r w:rsidRPr="00760F86">
        <w:rPr>
          <w:rFonts w:cstheme="minorHAnsi"/>
          <w:color w:val="0000CC"/>
          <w:u w:val="single"/>
        </w:rPr>
        <w:fldChar w:fldCharType="end"/>
      </w:r>
      <w:r w:rsidRPr="00760F86">
        <w:rPr>
          <w:rFonts w:cstheme="minorHAnsi"/>
        </w:rPr>
        <w:t xml:space="preserve">, </w:t>
      </w:r>
      <w:proofErr w:type="gramStart"/>
      <w:r w:rsidRPr="00760F86">
        <w:rPr>
          <w:rFonts w:cstheme="minorHAnsi"/>
          <w:i/>
        </w:rPr>
        <w:t>The</w:t>
      </w:r>
      <w:proofErr w:type="gramEnd"/>
      <w:r w:rsidRPr="00760F86">
        <w:rPr>
          <w:rFonts w:cstheme="minorHAnsi"/>
          <w:i/>
        </w:rPr>
        <w:t xml:space="preserve"> Quarterly Journal of Economics</w:t>
      </w:r>
      <w:r w:rsidRPr="00760F86">
        <w:rPr>
          <w:rFonts w:cstheme="minorHAnsi"/>
        </w:rPr>
        <w:t xml:space="preserve">, </w:t>
      </w:r>
      <w:r w:rsidRPr="00760F86">
        <w:rPr>
          <w:rStyle w:val="slug-vol"/>
          <w:rFonts w:cstheme="minorHAnsi"/>
        </w:rPr>
        <w:t xml:space="preserve">124 </w:t>
      </w:r>
      <w:r w:rsidRPr="00760F86">
        <w:rPr>
          <w:rStyle w:val="slug-issue"/>
          <w:rFonts w:cstheme="minorHAnsi"/>
        </w:rPr>
        <w:t xml:space="preserve">(3): </w:t>
      </w:r>
      <w:r w:rsidRPr="00760F86">
        <w:rPr>
          <w:rFonts w:cstheme="minorHAnsi"/>
        </w:rPr>
        <w:t>1057-1094.</w:t>
      </w:r>
    </w:p>
    <w:p w:rsidR="00600BCD" w:rsidRPr="00760F86" w:rsidRDefault="00600BCD" w:rsidP="00600BCD">
      <w:pPr>
        <w:pStyle w:val="Heading3"/>
        <w:spacing w:before="0" w:beforeAutospacing="0" w:after="0" w:afterAutospacing="0" w:line="360" w:lineRule="auto"/>
        <w:rPr>
          <w:rFonts w:asciiTheme="minorHAnsi" w:hAnsiTheme="minorHAnsi" w:cstheme="minorHAnsi"/>
          <w:b w:val="0"/>
          <w:sz w:val="22"/>
          <w:szCs w:val="22"/>
        </w:rPr>
      </w:pPr>
      <w:r w:rsidRPr="00760F86">
        <w:rPr>
          <w:rFonts w:asciiTheme="minorHAnsi" w:hAnsiTheme="minorHAnsi" w:cstheme="minorHAnsi"/>
          <w:b w:val="0"/>
          <w:sz w:val="22"/>
          <w:szCs w:val="22"/>
        </w:rPr>
        <w:t xml:space="preserve">Nunn, N. and </w:t>
      </w:r>
      <w:proofErr w:type="spellStart"/>
      <w:r w:rsidRPr="00760F86">
        <w:rPr>
          <w:rFonts w:asciiTheme="minorHAnsi" w:hAnsiTheme="minorHAnsi" w:cstheme="minorHAnsi"/>
          <w:b w:val="0"/>
          <w:sz w:val="22"/>
          <w:szCs w:val="22"/>
        </w:rPr>
        <w:t>Wantchekon</w:t>
      </w:r>
      <w:proofErr w:type="spellEnd"/>
      <w:r w:rsidRPr="00760F86">
        <w:rPr>
          <w:rFonts w:asciiTheme="minorHAnsi" w:hAnsiTheme="minorHAnsi" w:cstheme="minorHAnsi"/>
          <w:b w:val="0"/>
          <w:sz w:val="22"/>
          <w:szCs w:val="22"/>
        </w:rPr>
        <w:t xml:space="preserve">, L. (2009), </w:t>
      </w:r>
      <w:hyperlink r:id="rId8" w:history="1">
        <w:proofErr w:type="gramStart"/>
        <w:r w:rsidRPr="00760F86">
          <w:rPr>
            <w:rStyle w:val="Hyperlink"/>
            <w:rFonts w:asciiTheme="minorHAnsi" w:hAnsiTheme="minorHAnsi" w:cstheme="minorHAnsi"/>
            <w:b w:val="0"/>
            <w:sz w:val="22"/>
            <w:szCs w:val="22"/>
          </w:rPr>
          <w:t>The</w:t>
        </w:r>
        <w:proofErr w:type="gramEnd"/>
        <w:r w:rsidRPr="00760F86">
          <w:rPr>
            <w:rStyle w:val="Hyperlink"/>
            <w:rFonts w:asciiTheme="minorHAnsi" w:hAnsiTheme="minorHAnsi" w:cstheme="minorHAnsi"/>
            <w:b w:val="0"/>
            <w:sz w:val="22"/>
            <w:szCs w:val="22"/>
          </w:rPr>
          <w:t xml:space="preserve"> slave trade and the or</w:t>
        </w:r>
        <w:r w:rsidRPr="00760F86">
          <w:rPr>
            <w:rStyle w:val="Hyperlink"/>
            <w:rFonts w:asciiTheme="minorHAnsi" w:hAnsiTheme="minorHAnsi" w:cstheme="minorHAnsi"/>
            <w:b w:val="0"/>
            <w:sz w:val="22"/>
            <w:szCs w:val="22"/>
          </w:rPr>
          <w:t>i</w:t>
        </w:r>
        <w:r w:rsidRPr="00760F86">
          <w:rPr>
            <w:rStyle w:val="Hyperlink"/>
            <w:rFonts w:asciiTheme="minorHAnsi" w:hAnsiTheme="minorHAnsi" w:cstheme="minorHAnsi"/>
            <w:b w:val="0"/>
            <w:sz w:val="22"/>
            <w:szCs w:val="22"/>
          </w:rPr>
          <w:t>gins of mistrust in Africa</w:t>
        </w:r>
      </w:hyperlink>
      <w:r w:rsidRPr="00760F86">
        <w:rPr>
          <w:rFonts w:asciiTheme="minorHAnsi" w:hAnsiTheme="minorHAnsi" w:cstheme="minorHAnsi"/>
          <w:b w:val="0"/>
          <w:sz w:val="22"/>
          <w:szCs w:val="22"/>
        </w:rPr>
        <w:t>, NBER working paper.</w:t>
      </w:r>
    </w:p>
    <w:p w:rsidR="00600BCD" w:rsidRPr="00760F86" w:rsidRDefault="00600BCD" w:rsidP="00600BCD">
      <w:pPr>
        <w:spacing w:after="0" w:line="360" w:lineRule="auto"/>
        <w:outlineLvl w:val="3"/>
        <w:rPr>
          <w:rFonts w:cstheme="minorHAnsi"/>
        </w:rPr>
      </w:pPr>
      <w:proofErr w:type="spellStart"/>
      <w:r w:rsidRPr="00760F86">
        <w:rPr>
          <w:rFonts w:cstheme="minorHAnsi"/>
          <w:bCs/>
        </w:rPr>
        <w:t>Qian</w:t>
      </w:r>
      <w:proofErr w:type="spellEnd"/>
      <w:r w:rsidRPr="00760F86">
        <w:rPr>
          <w:rFonts w:cstheme="minorHAnsi"/>
          <w:bCs/>
        </w:rPr>
        <w:t>, N. (2008)</w:t>
      </w:r>
      <w:proofErr w:type="gramStart"/>
      <w:r w:rsidRPr="00760F86">
        <w:rPr>
          <w:rFonts w:cstheme="minorHAnsi"/>
          <w:bCs/>
        </w:rPr>
        <w:t xml:space="preserve">,  </w:t>
      </w:r>
      <w:proofErr w:type="gramEnd"/>
      <w:hyperlink r:id="rId9" w:history="1">
        <w:r w:rsidRPr="00760F86">
          <w:rPr>
            <w:rFonts w:cstheme="minorHAnsi"/>
            <w:color w:val="0000CC"/>
            <w:u w:val="single"/>
          </w:rPr>
          <w:t xml:space="preserve">Missing women and the price of </w:t>
        </w:r>
        <w:r w:rsidRPr="00760F86">
          <w:rPr>
            <w:rFonts w:cstheme="minorHAnsi"/>
            <w:bCs/>
            <w:color w:val="0000CC"/>
            <w:u w:val="single"/>
          </w:rPr>
          <w:t xml:space="preserve">tea </w:t>
        </w:r>
        <w:r w:rsidRPr="00760F86">
          <w:rPr>
            <w:rFonts w:cstheme="minorHAnsi"/>
            <w:color w:val="0000CC"/>
            <w:u w:val="single"/>
          </w:rPr>
          <w:t>in China: The effe</w:t>
        </w:r>
        <w:r w:rsidRPr="00760F86">
          <w:rPr>
            <w:rFonts w:cstheme="minorHAnsi"/>
            <w:color w:val="0000CC"/>
            <w:u w:val="single"/>
          </w:rPr>
          <w:t>c</w:t>
        </w:r>
        <w:r w:rsidRPr="00760F86">
          <w:rPr>
            <w:rFonts w:cstheme="minorHAnsi"/>
            <w:color w:val="0000CC"/>
            <w:u w:val="single"/>
          </w:rPr>
          <w:t>t of sex-specific earnings on sex imbalance</w:t>
        </w:r>
      </w:hyperlink>
      <w:r w:rsidRPr="00760F86">
        <w:rPr>
          <w:rFonts w:cstheme="minorHAnsi"/>
        </w:rPr>
        <w:t xml:space="preserve">, </w:t>
      </w:r>
      <w:r w:rsidRPr="00760F86">
        <w:rPr>
          <w:rStyle w:val="gsa1"/>
          <w:rFonts w:cstheme="minorHAnsi"/>
          <w:i/>
          <w:color w:val="auto"/>
        </w:rPr>
        <w:t>The Quarterly Journal of Economics, 123(3): 1251-1285.</w:t>
      </w:r>
    </w:p>
    <w:p w:rsidR="00600BCD" w:rsidRPr="00760F86" w:rsidRDefault="00600BCD">
      <w:pPr>
        <w:rPr>
          <w:rFonts w:cstheme="minorHAnsi"/>
          <w:bCs/>
        </w:rPr>
      </w:pPr>
    </w:p>
    <w:sectPr w:rsidR="00600BCD" w:rsidRPr="00760F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6E"/>
    <w:rsid w:val="00260AAC"/>
    <w:rsid w:val="00467240"/>
    <w:rsid w:val="00585C13"/>
    <w:rsid w:val="00600BCD"/>
    <w:rsid w:val="00601817"/>
    <w:rsid w:val="0065156E"/>
    <w:rsid w:val="00665BF3"/>
    <w:rsid w:val="00760F86"/>
    <w:rsid w:val="00F06359"/>
    <w:rsid w:val="00FB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600BCD"/>
    <w:pPr>
      <w:spacing w:before="100" w:beforeAutospacing="1" w:after="100" w:afterAutospacing="1" w:line="240" w:lineRule="auto"/>
      <w:outlineLvl w:val="2"/>
    </w:pPr>
    <w:rPr>
      <w:rFonts w:ascii="Times New Roman" w:eastAsia="SimSu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00BCD"/>
    <w:rPr>
      <w:rFonts w:ascii="Times New Roman" w:eastAsia="SimSun" w:hAnsi="Times New Roman" w:cs="Times New Roman"/>
      <w:b/>
      <w:bCs/>
      <w:sz w:val="27"/>
      <w:szCs w:val="27"/>
      <w:lang w:eastAsia="en-US"/>
    </w:rPr>
  </w:style>
  <w:style w:type="character" w:styleId="Hyperlink">
    <w:name w:val="Hyperlink"/>
    <w:basedOn w:val="DefaultParagraphFont"/>
    <w:uiPriority w:val="99"/>
    <w:rsid w:val="00600BCD"/>
    <w:rPr>
      <w:rFonts w:ascii="Arial" w:hAnsi="Arial" w:cs="Arial"/>
      <w:color w:val="0000CC"/>
      <w:u w:val="single"/>
    </w:rPr>
  </w:style>
  <w:style w:type="character" w:customStyle="1" w:styleId="slug-vol">
    <w:name w:val="slug-vol"/>
    <w:basedOn w:val="DefaultParagraphFont"/>
    <w:uiPriority w:val="99"/>
    <w:rsid w:val="00600BCD"/>
    <w:rPr>
      <w:rFonts w:cs="Times New Roman"/>
    </w:rPr>
  </w:style>
  <w:style w:type="character" w:customStyle="1" w:styleId="slug-issue">
    <w:name w:val="slug-issue"/>
    <w:basedOn w:val="DefaultParagraphFont"/>
    <w:uiPriority w:val="99"/>
    <w:rsid w:val="00600BCD"/>
    <w:rPr>
      <w:rFonts w:cs="Times New Roman"/>
    </w:rPr>
  </w:style>
  <w:style w:type="character" w:customStyle="1" w:styleId="gsa1">
    <w:name w:val="gs_a1"/>
    <w:basedOn w:val="DefaultParagraphFont"/>
    <w:uiPriority w:val="99"/>
    <w:rsid w:val="00600BCD"/>
    <w:rPr>
      <w:rFonts w:cs="Times New Roman"/>
      <w:color w:val="008000"/>
    </w:rPr>
  </w:style>
  <w:style w:type="character" w:styleId="FollowedHyperlink">
    <w:name w:val="FollowedHyperlink"/>
    <w:basedOn w:val="DefaultParagraphFont"/>
    <w:uiPriority w:val="99"/>
    <w:semiHidden/>
    <w:unhideWhenUsed/>
    <w:rsid w:val="00760F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600BCD"/>
    <w:pPr>
      <w:spacing w:before="100" w:beforeAutospacing="1" w:after="100" w:afterAutospacing="1" w:line="240" w:lineRule="auto"/>
      <w:outlineLvl w:val="2"/>
    </w:pPr>
    <w:rPr>
      <w:rFonts w:ascii="Times New Roman" w:eastAsia="SimSu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00BCD"/>
    <w:rPr>
      <w:rFonts w:ascii="Times New Roman" w:eastAsia="SimSun" w:hAnsi="Times New Roman" w:cs="Times New Roman"/>
      <w:b/>
      <w:bCs/>
      <w:sz w:val="27"/>
      <w:szCs w:val="27"/>
      <w:lang w:eastAsia="en-US"/>
    </w:rPr>
  </w:style>
  <w:style w:type="character" w:styleId="Hyperlink">
    <w:name w:val="Hyperlink"/>
    <w:basedOn w:val="DefaultParagraphFont"/>
    <w:uiPriority w:val="99"/>
    <w:rsid w:val="00600BCD"/>
    <w:rPr>
      <w:rFonts w:ascii="Arial" w:hAnsi="Arial" w:cs="Arial"/>
      <w:color w:val="0000CC"/>
      <w:u w:val="single"/>
    </w:rPr>
  </w:style>
  <w:style w:type="character" w:customStyle="1" w:styleId="slug-vol">
    <w:name w:val="slug-vol"/>
    <w:basedOn w:val="DefaultParagraphFont"/>
    <w:uiPriority w:val="99"/>
    <w:rsid w:val="00600BCD"/>
    <w:rPr>
      <w:rFonts w:cs="Times New Roman"/>
    </w:rPr>
  </w:style>
  <w:style w:type="character" w:customStyle="1" w:styleId="slug-issue">
    <w:name w:val="slug-issue"/>
    <w:basedOn w:val="DefaultParagraphFont"/>
    <w:uiPriority w:val="99"/>
    <w:rsid w:val="00600BCD"/>
    <w:rPr>
      <w:rFonts w:cs="Times New Roman"/>
    </w:rPr>
  </w:style>
  <w:style w:type="character" w:customStyle="1" w:styleId="gsa1">
    <w:name w:val="gs_a1"/>
    <w:basedOn w:val="DefaultParagraphFont"/>
    <w:uiPriority w:val="99"/>
    <w:rsid w:val="00600BCD"/>
    <w:rPr>
      <w:rFonts w:cs="Times New Roman"/>
      <w:color w:val="008000"/>
    </w:rPr>
  </w:style>
  <w:style w:type="character" w:styleId="FollowedHyperlink">
    <w:name w:val="FollowedHyperlink"/>
    <w:basedOn w:val="DefaultParagraphFont"/>
    <w:uiPriority w:val="99"/>
    <w:semiHidden/>
    <w:unhideWhenUsed/>
    <w:rsid w:val="00760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4783" TargetMode="External"/><Relationship Id="rId3" Type="http://schemas.openxmlformats.org/officeDocument/2006/relationships/settings" Target="settings.xml"/><Relationship Id="rId7" Type="http://schemas.openxmlformats.org/officeDocument/2006/relationships/hyperlink" Target="http://www.springerlink.com/index/r94187h34g6h74g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sb.stanford.edu/facseminars/events/political_economy/documents/pe_02_11_pefujiwara.pdf" TargetMode="External"/><Relationship Id="rId11" Type="http://schemas.openxmlformats.org/officeDocument/2006/relationships/theme" Target="theme/theme1.xml"/><Relationship Id="rId5" Type="http://schemas.openxmlformats.org/officeDocument/2006/relationships/hyperlink" Target="mailto:andreas.kotsadam@econ.uio.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je.oxfordjournals.org/content/123/3/1251.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5CEEAF68.dotm</Template>
  <TotalTime>13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Kotsadam</dc:creator>
  <cp:lastModifiedBy>Andreas Kotsadam</cp:lastModifiedBy>
  <cp:revision>3</cp:revision>
  <dcterms:created xsi:type="dcterms:W3CDTF">2012-02-06T19:03:00Z</dcterms:created>
  <dcterms:modified xsi:type="dcterms:W3CDTF">2012-02-06T19:15:00Z</dcterms:modified>
</cp:coreProperties>
</file>